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FE9CA71"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bookmarkStart w:id="0" w:name="_GoBack"/>
        <w:bookmarkEnd w:id="0"/>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economico-patrimoniali e ove necessario relativi alle abitudini di vita o di consumo, ivi compresi i dati andamentali dell’impresa provenienti dalla Centrale Rischi di Banca d’Italia o da altra società privata di gestione di sistemi di informazione creditizia :</w:t>
            </w:r>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Tali diritti potranno essere esercitati mediante richiesta inviata rivolgendosi al Data Protection Officer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59362" w14:textId="77777777" w:rsidR="001A018B" w:rsidRDefault="001A018B" w:rsidP="0081515F">
      <w:pPr>
        <w:spacing w:after="0" w:line="240" w:lineRule="auto"/>
      </w:pPr>
      <w:r>
        <w:separator/>
      </w:r>
    </w:p>
  </w:endnote>
  <w:endnote w:type="continuationSeparator" w:id="0">
    <w:p w14:paraId="219F4CF9" w14:textId="77777777" w:rsidR="001A018B" w:rsidRDefault="001A018B"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1E89A" w14:textId="77777777" w:rsidR="001A018B" w:rsidRDefault="001A018B" w:rsidP="0081515F">
      <w:pPr>
        <w:spacing w:after="0" w:line="240" w:lineRule="auto"/>
      </w:pPr>
      <w:r>
        <w:separator/>
      </w:r>
    </w:p>
  </w:footnote>
  <w:footnote w:type="continuationSeparator" w:id="0">
    <w:p w14:paraId="16DD986E" w14:textId="77777777" w:rsidR="001A018B" w:rsidRDefault="001A018B"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7C18" w14:textId="0F2FC16F"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A167BF">
      <w:rPr>
        <w:rFonts w:ascii="Arial" w:hAnsi="Arial" w:cs="Arial"/>
        <w:noProof/>
        <w:sz w:val="20"/>
        <w:szCs w:val="20"/>
      </w:rPr>
      <w:t>4</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A167BF">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018B"/>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167BF"/>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0004F-AFC9-4197-B571-10C4092D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2768</Words>
  <Characters>15782</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La Ragione Luca</cp:lastModifiedBy>
  <cp:revision>3</cp:revision>
  <cp:lastPrinted>2019-03-22T11:54:00Z</cp:lastPrinted>
  <dcterms:created xsi:type="dcterms:W3CDTF">2020-04-11T12:02:00Z</dcterms:created>
  <dcterms:modified xsi:type="dcterms:W3CDTF">2020-04-17T11:06:00Z</dcterms:modified>
</cp:coreProperties>
</file>